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9CDE" w14:textId="3472F68F" w:rsidR="007B1AF7" w:rsidRPr="00707B41" w:rsidRDefault="007B1AF7" w:rsidP="007B1AF7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</w:t>
      </w:r>
      <w:r w:rsidRPr="00707B4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ابحاث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</w:t>
      </w:r>
      <w:r w:rsidRPr="00707B4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منشوره</w:t>
      </w:r>
      <w:proofErr w:type="spellEnd"/>
    </w:p>
    <w:p w14:paraId="06BEA4A7" w14:textId="77777777" w:rsidR="007B1AF7" w:rsidRPr="00C93AA1" w:rsidRDefault="007B1AF7" w:rsidP="007B1AF7">
      <w:p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tbl>
      <w:tblPr>
        <w:bidiVisual/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3119"/>
        <w:gridCol w:w="2551"/>
        <w:gridCol w:w="709"/>
        <w:gridCol w:w="646"/>
        <w:gridCol w:w="2127"/>
        <w:gridCol w:w="488"/>
      </w:tblGrid>
      <w:tr w:rsidR="007B1AF7" w:rsidRPr="00C93AA1" w14:paraId="7CB0722E" w14:textId="77777777" w:rsidTr="00677901">
        <w:trPr>
          <w:trHeight w:val="519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F5065" w14:textId="77777777" w:rsidR="007B1AF7" w:rsidRPr="00CC30B0" w:rsidRDefault="007B1AF7" w:rsidP="00677901">
            <w:pPr>
              <w:tabs>
                <w:tab w:val="left" w:pos="2700"/>
              </w:tabs>
              <w:bidi/>
              <w:spacing w:before="80" w:after="20" w:line="36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  <w:t xml:space="preserve">السنة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0639" w14:textId="77777777" w:rsidR="007B1AF7" w:rsidRPr="00CC30B0" w:rsidRDefault="007B1AF7" w:rsidP="00677901">
            <w:pPr>
              <w:tabs>
                <w:tab w:val="left" w:pos="2700"/>
              </w:tabs>
              <w:bidi/>
              <w:spacing w:before="80" w:after="20" w:line="36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  <w:lang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  <w:t>اسم البحث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7BDEE" w14:textId="77777777" w:rsidR="007B1AF7" w:rsidRPr="00CC30B0" w:rsidRDefault="007B1AF7" w:rsidP="00677901">
            <w:pPr>
              <w:tabs>
                <w:tab w:val="left" w:pos="2700"/>
              </w:tabs>
              <w:bidi/>
              <w:spacing w:before="80" w:after="20" w:line="36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  <w:t>اسم الدورية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E2BCD" w14:textId="77777777" w:rsidR="007B1AF7" w:rsidRPr="00CC30B0" w:rsidRDefault="007B1AF7" w:rsidP="00677901">
            <w:pPr>
              <w:tabs>
                <w:tab w:val="left" w:pos="2700"/>
              </w:tabs>
              <w:bidi/>
              <w:spacing w:before="80" w:after="20" w:line="36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  <w:t>محلي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373B" w14:textId="77777777" w:rsidR="007B1AF7" w:rsidRPr="00CC30B0" w:rsidRDefault="007B1AF7" w:rsidP="00677901">
            <w:pPr>
              <w:tabs>
                <w:tab w:val="left" w:pos="2700"/>
              </w:tabs>
              <w:bidi/>
              <w:spacing w:before="80" w:after="20" w:line="36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  <w:t>دولي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B184" w14:textId="77777777" w:rsidR="007B1AF7" w:rsidRPr="00CC30B0" w:rsidRDefault="007B1AF7" w:rsidP="00677901">
            <w:pPr>
              <w:bidi/>
              <w:spacing w:after="0" w:line="240" w:lineRule="auto"/>
              <w:rPr>
                <w:rFonts w:ascii="Abadi" w:hAnsi="Abadi" w:cstheme="majorBidi"/>
                <w:b/>
                <w:bCs/>
                <w:sz w:val="24"/>
                <w:szCs w:val="24"/>
                <w:lang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  <w:t>الباحثون من القسم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020D" w14:textId="77777777" w:rsidR="007B1AF7" w:rsidRPr="00CC30B0" w:rsidRDefault="007B1AF7" w:rsidP="00677901">
            <w:pPr>
              <w:bidi/>
              <w:spacing w:after="0" w:line="240" w:lineRule="auto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NO</w:t>
            </w:r>
          </w:p>
        </w:tc>
      </w:tr>
      <w:tr w:rsidR="007B1AF7" w:rsidRPr="00C93AA1" w14:paraId="707065D2" w14:textId="77777777" w:rsidTr="00677901">
        <w:trPr>
          <w:trHeight w:val="1099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372A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01D4" w14:textId="77777777" w:rsidR="007B1AF7" w:rsidRPr="00CC30B0" w:rsidRDefault="007B1AF7" w:rsidP="00677901">
            <w:pPr>
              <w:spacing w:before="100" w:beforeAutospacing="1" w:after="100" w:afterAutospacing="1" w:line="240" w:lineRule="auto"/>
              <w:outlineLvl w:val="0"/>
              <w:rPr>
                <w:rFonts w:ascii="Abadi" w:eastAsia="Times New Roman" w:hAnsi="Abadi" w:cs="Times New Roman"/>
                <w:b/>
                <w:bCs/>
                <w:kern w:val="36"/>
                <w:sz w:val="24"/>
                <w:szCs w:val="24"/>
              </w:rPr>
            </w:pPr>
            <w:r w:rsidRPr="00CC30B0">
              <w:rPr>
                <w:rFonts w:ascii="Abadi" w:eastAsia="Times New Roman" w:hAnsi="Abadi" w:cs="Times New Roman"/>
                <w:b/>
                <w:bCs/>
                <w:kern w:val="36"/>
                <w:sz w:val="24"/>
                <w:szCs w:val="24"/>
              </w:rPr>
              <w:t>Apitherapy combination improvement of blood pressure, cardiovascular protection, and antioxidant and anti-inflammatory responses in dexamethasone model hypertensive rats</w:t>
            </w:r>
          </w:p>
          <w:p w14:paraId="5660E500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" w:hAnsi="Abadi" w:cstheme="majorBidi"/>
                <w:sz w:val="24"/>
                <w:szCs w:val="24"/>
                <w:lang w:eastAsia="ar-SA" w:bidi="ar-EG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E19AC" w14:textId="77777777" w:rsidR="007B1AF7" w:rsidRPr="00CC30B0" w:rsidRDefault="007B1AF7" w:rsidP="00677901">
            <w:pPr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i/>
                <w:iCs/>
                <w:sz w:val="24"/>
                <w:szCs w:val="24"/>
              </w:rPr>
              <w:t>Sci Rep</w:t>
            </w: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 12, 20765 (2022). https://doi.org/10.1038/s41598-022-24727-z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22D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109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361671F3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E3C4A" w14:textId="77777777" w:rsidR="007B1AF7" w:rsidRPr="00CC30B0" w:rsidRDefault="007B1AF7" w:rsidP="00677901">
            <w:pPr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  <w:t>د. هاله السيد عبد الحميد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BA186" w14:textId="77777777" w:rsidR="007B1AF7" w:rsidRPr="00CC30B0" w:rsidRDefault="007B1AF7" w:rsidP="00677901">
            <w:pPr>
              <w:spacing w:after="0" w:line="240" w:lineRule="auto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1</w:t>
            </w:r>
          </w:p>
        </w:tc>
      </w:tr>
      <w:tr w:rsidR="007B1AF7" w:rsidRPr="00C93AA1" w14:paraId="28420285" w14:textId="77777777" w:rsidTr="00677901">
        <w:trPr>
          <w:trHeight w:val="1099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28D2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</w:t>
            </w: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B9C3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ind w:right="-426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  <w:proofErr w:type="spellStart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COenzyme</w:t>
            </w:r>
            <w:proofErr w:type="spellEnd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 Q10 ameliorates </w:t>
            </w:r>
            <w:proofErr w:type="spellStart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bisphinol</w:t>
            </w:r>
            <w:proofErr w:type="spellEnd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 A induced reproductive male toxicity: A transmission electron microscopic and immunohistochemistry study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C2D88" w14:textId="77777777" w:rsidR="007B1AF7" w:rsidRPr="00CC30B0" w:rsidRDefault="007B1AF7" w:rsidP="00677901">
            <w:pPr>
              <w:jc w:val="center"/>
              <w:rPr>
                <w:rFonts w:ascii="Abadi" w:hAnsi="Abadi" w:cstheme="majorBidi"/>
                <w:b/>
                <w:bCs/>
                <w:sz w:val="24"/>
                <w:szCs w:val="24"/>
                <w:rtl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Al-Azhar </w:t>
            </w:r>
            <w:proofErr w:type="spellStart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Assuit</w:t>
            </w:r>
            <w:proofErr w:type="spellEnd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 Medical Journal</w:t>
            </w:r>
          </w:p>
          <w:p w14:paraId="374B7D05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DOI: 10.4103/azmj.azmj_24_22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EEA6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rial" w:hAnsi="Arial"/>
                <w:sz w:val="24"/>
                <w:szCs w:val="24"/>
                <w:lang w:eastAsia="ar-SA"/>
              </w:rPr>
              <w:t>√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3B3B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39FA" w14:textId="77777777" w:rsidR="007B1AF7" w:rsidRPr="00CC30B0" w:rsidRDefault="007B1AF7" w:rsidP="00677901">
            <w:pPr>
              <w:bidi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  <w:t>د. ايمان محمد علي</w:t>
            </w:r>
          </w:p>
          <w:p w14:paraId="3648E2BE" w14:textId="77777777" w:rsidR="007B1AF7" w:rsidRPr="00CC30B0" w:rsidRDefault="007B1AF7" w:rsidP="00677901">
            <w:pPr>
              <w:spacing w:after="0" w:line="240" w:lineRule="auto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7256" w14:textId="77777777" w:rsidR="007B1AF7" w:rsidRPr="00CC30B0" w:rsidRDefault="007B1AF7" w:rsidP="00677901">
            <w:pPr>
              <w:spacing w:after="0" w:line="240" w:lineRule="auto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</w:t>
            </w:r>
          </w:p>
        </w:tc>
      </w:tr>
      <w:tr w:rsidR="007B1AF7" w:rsidRPr="00C93AA1" w14:paraId="3190EB5C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16A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E2B8" w14:textId="77777777" w:rsidR="007B1AF7" w:rsidRPr="00CC30B0" w:rsidRDefault="007B1AF7" w:rsidP="00677901">
            <w:pPr>
              <w:spacing w:line="24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 xml:space="preserve">Report of two pregnant cases with disseminated peritoneal </w:t>
            </w:r>
            <w:proofErr w:type="spellStart"/>
            <w:r w:rsidRPr="00CC30B0">
              <w:rPr>
                <w:rFonts w:ascii="Abadi" w:hAnsi="Abadi" w:cstheme="majorBidi"/>
                <w:b/>
                <w:bCs/>
                <w:sz w:val="24"/>
                <w:szCs w:val="24"/>
              </w:rPr>
              <w:t>leiomyomatosis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8410" w14:textId="77777777" w:rsidR="007B1AF7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Abadi" w:hAnsi="Abadi"/>
                <w:b/>
                <w:bCs/>
                <w:sz w:val="24"/>
                <w:szCs w:val="24"/>
                <w:rtl/>
              </w:rPr>
            </w:pPr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>Journal of Recent Advances IN Medicine JRAM 2022; 3(2): 131-135. DOI: 10.21608/jram.2022.109247.1150</w:t>
            </w:r>
          </w:p>
          <w:p w14:paraId="5E951DC5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051B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9DEC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630B3AA7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34B" w14:textId="77777777" w:rsidR="007B1AF7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  <w:t>د. عبير سعيد فرج</w:t>
            </w:r>
          </w:p>
          <w:p w14:paraId="6D4919ED" w14:textId="77777777" w:rsidR="007B1AF7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</w:p>
          <w:p w14:paraId="28749674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B5A3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5</w:t>
            </w:r>
          </w:p>
        </w:tc>
      </w:tr>
      <w:tr w:rsidR="007B1AF7" w:rsidRPr="00C93AA1" w14:paraId="3D48F5A8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44B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9BF" w14:textId="77777777" w:rsidR="007B1AF7" w:rsidRPr="00CC30B0" w:rsidRDefault="007B1AF7" w:rsidP="00677901">
            <w:pPr>
              <w:tabs>
                <w:tab w:val="left" w:pos="5587"/>
              </w:tabs>
              <w:bidi/>
              <w:jc w:val="right"/>
              <w:rPr>
                <w:rFonts w:ascii="Abadi" w:hAnsi="Abadi" w:cs="Mudir MT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="Mudir MT"/>
                <w:b/>
                <w:bCs/>
                <w:sz w:val="24"/>
                <w:szCs w:val="24"/>
              </w:rPr>
              <w:t>HER2/neu expression status of post BCG recurrent non-muscle-invasive bladder urothelial carcinomas in relation to their primary ones</w:t>
            </w:r>
          </w:p>
          <w:p w14:paraId="78AB5636" w14:textId="77777777" w:rsidR="007B1AF7" w:rsidRPr="00CC30B0" w:rsidRDefault="007B1AF7" w:rsidP="00677901">
            <w:pPr>
              <w:spacing w:line="240" w:lineRule="auto"/>
              <w:jc w:val="center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DCD" w14:textId="77777777" w:rsidR="007B1AF7" w:rsidRPr="00CC30B0" w:rsidRDefault="007B1AF7" w:rsidP="00677901">
            <w:pPr>
              <w:tabs>
                <w:tab w:val="left" w:pos="5587"/>
              </w:tabs>
              <w:bidi/>
              <w:jc w:val="right"/>
              <w:rPr>
                <w:rFonts w:ascii="Abadi" w:hAnsi="Abadi"/>
                <w:sz w:val="24"/>
                <w:szCs w:val="24"/>
              </w:rPr>
            </w:pPr>
            <w:proofErr w:type="spellStart"/>
            <w:r w:rsidRPr="00CC30B0">
              <w:rPr>
                <w:rFonts w:ascii="Abadi" w:hAnsi="Abadi"/>
                <w:sz w:val="24"/>
                <w:szCs w:val="24"/>
              </w:rPr>
              <w:t>Archivio</w:t>
            </w:r>
            <w:proofErr w:type="spellEnd"/>
            <w:r w:rsidRPr="00CC30B0">
              <w:rPr>
                <w:rFonts w:ascii="Abadi" w:hAnsi="Abadi"/>
                <w:sz w:val="24"/>
                <w:szCs w:val="24"/>
              </w:rPr>
              <w:t xml:space="preserve"> Italiano di </w:t>
            </w:r>
            <w:proofErr w:type="spellStart"/>
            <w:r w:rsidRPr="00CC30B0">
              <w:rPr>
                <w:rFonts w:ascii="Abadi" w:hAnsi="Abadi"/>
                <w:sz w:val="24"/>
                <w:szCs w:val="24"/>
              </w:rPr>
              <w:t>Urologia</w:t>
            </w:r>
            <w:proofErr w:type="spellEnd"/>
            <w:r w:rsidRPr="00CC30B0">
              <w:rPr>
                <w:rFonts w:ascii="Abadi" w:hAnsi="Abadi"/>
                <w:sz w:val="24"/>
                <w:szCs w:val="24"/>
              </w:rPr>
              <w:t xml:space="preserve"> e </w:t>
            </w:r>
            <w:proofErr w:type="spellStart"/>
            <w:r w:rsidRPr="00CC30B0">
              <w:rPr>
                <w:rFonts w:ascii="Abadi" w:hAnsi="Abadi"/>
                <w:sz w:val="24"/>
                <w:szCs w:val="24"/>
              </w:rPr>
              <w:t>Andrologia</w:t>
            </w:r>
            <w:proofErr w:type="spellEnd"/>
            <w:r w:rsidRPr="00CC30B0">
              <w:rPr>
                <w:rFonts w:ascii="Abadi" w:hAnsi="Abadi"/>
                <w:sz w:val="24"/>
                <w:szCs w:val="24"/>
              </w:rPr>
              <w:t xml:space="preserve"> 2023; 95, 2</w:t>
            </w:r>
          </w:p>
          <w:p w14:paraId="791098CC" w14:textId="77777777" w:rsidR="007B1AF7" w:rsidRPr="00CC30B0" w:rsidRDefault="007B1AF7" w:rsidP="00677901">
            <w:pPr>
              <w:tabs>
                <w:tab w:val="left" w:pos="5587"/>
              </w:tabs>
              <w:bidi/>
              <w:jc w:val="right"/>
              <w:rPr>
                <w:rFonts w:ascii="Abadi" w:hAnsi="Abadi" w:cs="Mudir MT"/>
                <w:sz w:val="24"/>
                <w:szCs w:val="24"/>
              </w:rPr>
            </w:pPr>
          </w:p>
          <w:p w14:paraId="0CC2B676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Abadi" w:hAnsi="Abadi"/>
                <w:b/>
                <w:bCs/>
                <w:sz w:val="24"/>
                <w:szCs w:val="24"/>
              </w:rPr>
            </w:pPr>
            <w:proofErr w:type="spellStart"/>
            <w:r w:rsidRPr="00CC30B0">
              <w:rPr>
                <w:rFonts w:ascii="Abadi" w:hAnsi="Abadi" w:cs="Segoe UI"/>
                <w:b/>
                <w:bCs/>
                <w:color w:val="5B616B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CC30B0">
              <w:rPr>
                <w:rFonts w:ascii="Abadi" w:hAnsi="Abadi" w:cs="Segoe UI"/>
                <w:b/>
                <w:bCs/>
                <w:color w:val="5B616B"/>
                <w:sz w:val="24"/>
                <w:szCs w:val="24"/>
                <w:shd w:val="clear" w:color="auto" w:fill="FFFFFF"/>
              </w:rPr>
              <w:t>: 10.4081/aiua.2023.11313.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328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868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36877D36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59A3" w14:textId="77777777" w:rsidR="007B1AF7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  <w:t>د. عبير سعيد فرج</w:t>
            </w:r>
          </w:p>
          <w:p w14:paraId="280A6D9A" w14:textId="77777777" w:rsidR="007B1AF7" w:rsidRPr="00CC30B0" w:rsidRDefault="007B1AF7" w:rsidP="00677901">
            <w:pPr>
              <w:bidi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6F1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6</w:t>
            </w:r>
          </w:p>
        </w:tc>
      </w:tr>
      <w:tr w:rsidR="007B1AF7" w:rsidRPr="00C93AA1" w14:paraId="6C84D6E5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FA29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BF59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="Abadi" w:hAnsi="Aba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 xml:space="preserve">The Expression of Stem Cell Marker LGR5 and Its </w:t>
            </w:r>
            <w:proofErr w:type="spellStart"/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>Coexpression</w:t>
            </w:r>
            <w:proofErr w:type="spellEnd"/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 xml:space="preserve"> with </w:t>
            </w:r>
            <w:r w:rsidRPr="00CC30B0">
              <w:rPr>
                <w:rFonts w:cs="Calibri"/>
                <w:b/>
                <w:bCs/>
                <w:sz w:val="24"/>
                <w:szCs w:val="24"/>
              </w:rPr>
              <w:t>Β</w:t>
            </w:r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>-Catenin in Sporadic Colorectal Carcinoma and Adenoma: A Comparative Immunohistochemical Study</w:t>
            </w:r>
          </w:p>
          <w:p w14:paraId="01A2ABFA" w14:textId="77777777" w:rsidR="007B1AF7" w:rsidRPr="00CC30B0" w:rsidRDefault="007B1AF7" w:rsidP="00677901">
            <w:pPr>
              <w:tabs>
                <w:tab w:val="left" w:pos="5587"/>
              </w:tabs>
              <w:bidi/>
              <w:jc w:val="right"/>
              <w:rPr>
                <w:rFonts w:ascii="Abadi" w:hAnsi="Abadi" w:cs="Mudir MT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45D9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="Abadi" w:hAnsi="Abadi"/>
                <w:sz w:val="24"/>
                <w:szCs w:val="24"/>
              </w:rPr>
            </w:pPr>
            <w:proofErr w:type="spellStart"/>
            <w:r w:rsidRPr="00CC30B0">
              <w:rPr>
                <w:rFonts w:ascii="Abadi" w:hAnsi="Abadi"/>
                <w:sz w:val="24"/>
                <w:szCs w:val="24"/>
              </w:rPr>
              <w:lastRenderedPageBreak/>
              <w:t>Medicina</w:t>
            </w:r>
            <w:proofErr w:type="spellEnd"/>
            <w:r w:rsidRPr="00CC30B0">
              <w:rPr>
                <w:rFonts w:ascii="Abadi" w:hAnsi="Abadi"/>
                <w:sz w:val="24"/>
                <w:szCs w:val="24"/>
              </w:rPr>
              <w:t xml:space="preserve"> 2023, 59, 1233</w:t>
            </w:r>
          </w:p>
          <w:p w14:paraId="6400803B" w14:textId="77777777" w:rsidR="007B1AF7" w:rsidRPr="00CC30B0" w:rsidRDefault="007B1AF7" w:rsidP="00677901">
            <w:pPr>
              <w:bidi/>
              <w:jc w:val="right"/>
              <w:rPr>
                <w:rFonts w:ascii="Abadi" w:hAnsi="Abadi" w:cs="Mudir MT"/>
                <w:sz w:val="24"/>
                <w:szCs w:val="24"/>
              </w:rPr>
            </w:pPr>
          </w:p>
          <w:p w14:paraId="02443A0B" w14:textId="77777777" w:rsidR="007B1AF7" w:rsidRPr="00CC30B0" w:rsidRDefault="007B1AF7" w:rsidP="00677901">
            <w:pPr>
              <w:bidi/>
              <w:jc w:val="right"/>
              <w:rPr>
                <w:rFonts w:ascii="Abadi" w:hAnsi="Abadi"/>
                <w:sz w:val="24"/>
                <w:szCs w:val="24"/>
              </w:rPr>
            </w:pPr>
          </w:p>
          <w:p w14:paraId="0E736CF9" w14:textId="77777777" w:rsidR="007B1AF7" w:rsidRPr="00CC30B0" w:rsidRDefault="007B1AF7" w:rsidP="00677901">
            <w:pPr>
              <w:tabs>
                <w:tab w:val="left" w:pos="5587"/>
              </w:tabs>
              <w:bidi/>
              <w:jc w:val="right"/>
              <w:rPr>
                <w:rFonts w:ascii="Abadi" w:hAnsi="Abadi"/>
                <w:sz w:val="24"/>
                <w:szCs w:val="24"/>
              </w:rPr>
            </w:pPr>
            <w:hyperlink r:id="rId4" w:history="1">
              <w:r w:rsidRPr="00CC30B0">
                <w:rPr>
                  <w:rStyle w:val="Hyperlink"/>
                  <w:rFonts w:ascii="Abadi" w:hAnsi="Abadi"/>
                  <w:b/>
                  <w:bCs/>
                  <w:color w:val="4F5671"/>
                  <w:sz w:val="24"/>
                  <w:szCs w:val="24"/>
                  <w:shd w:val="clear" w:color="auto" w:fill="FFFFFF"/>
                </w:rPr>
                <w:t>https://doi.org/10.3390/medicina5907123</w:t>
              </w:r>
              <w:r w:rsidRPr="00CC30B0">
                <w:rPr>
                  <w:rStyle w:val="Hyperlink"/>
                  <w:rFonts w:ascii="Abadi" w:hAnsi="Abadi"/>
                  <w:b/>
                  <w:bCs/>
                  <w:color w:val="4F5671"/>
                  <w:sz w:val="24"/>
                  <w:szCs w:val="24"/>
                  <w:shd w:val="clear" w:color="auto" w:fill="FFFFFF"/>
                </w:rPr>
                <w:lastRenderedPageBreak/>
                <w:t>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00B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0B3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9951" w14:textId="77777777" w:rsidR="007B1AF7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  <w:t>د. عبير سعيد فرج</w:t>
            </w:r>
          </w:p>
          <w:p w14:paraId="236E8B4C" w14:textId="77777777" w:rsidR="007B1AF7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</w:p>
          <w:p w14:paraId="62E2B867" w14:textId="77777777" w:rsidR="007B1AF7" w:rsidRPr="00CC30B0" w:rsidRDefault="007B1AF7" w:rsidP="00677901">
            <w:pPr>
              <w:bidi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  <w:t>د. ايمان محمد علي</w:t>
            </w:r>
          </w:p>
          <w:p w14:paraId="2EC9206F" w14:textId="77777777" w:rsidR="007B1AF7" w:rsidRPr="00CC30B0" w:rsidRDefault="007B1AF7" w:rsidP="00677901">
            <w:pPr>
              <w:autoSpaceDE w:val="0"/>
              <w:autoSpaceDN w:val="0"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411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22B360B0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FCF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>
              <w:rPr>
                <w:rFonts w:ascii="Abadi" w:hAnsi="Abadi" w:cstheme="majorBidi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8256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Immunohistochemical Expression of HBME-1 and TROP-2 in Some Follicular-Derived Thyroid Lesions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0AC9" w14:textId="77777777" w:rsidR="007B1AF7" w:rsidRDefault="007B1AF7" w:rsidP="006779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DOI:10.31557/APJCP.2023.24.7.2305</w:t>
            </w:r>
          </w:p>
          <w:p w14:paraId="32C1B070" w14:textId="77777777" w:rsidR="007B1AF7" w:rsidRDefault="007B1AF7" w:rsidP="006779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41414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The Asian Pacific Journal of Cancer Prevention (APJCP)  </w:t>
            </w:r>
            <w:hyperlink r:id="rId5" w:history="1">
              <w:r>
                <w:rPr>
                  <w:rStyle w:val="Hyperlink"/>
                  <w:rFonts w:asciiTheme="majorBidi" w:eastAsia="Times New Roman" w:hAnsiTheme="majorBidi" w:cstheme="majorBidi"/>
                  <w:b/>
                  <w:bCs/>
                  <w:color w:val="183586"/>
                  <w:sz w:val="24"/>
                  <w:szCs w:val="24"/>
                  <w:shd w:val="clear" w:color="auto" w:fill="FFFFFF"/>
                </w:rPr>
                <w:t>Volume 24, Issue 7</w:t>
              </w:r>
            </w:hyperlink>
            <w:r>
              <w:rPr>
                <w:rFonts w:asciiTheme="majorBidi" w:eastAsia="Times New Roman" w:hAnsiTheme="majorBidi" w:cstheme="majorBidi"/>
                <w:b/>
                <w:bCs/>
                <w:color w:val="414141"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b/>
                <w:bCs/>
                <w:color w:val="414141"/>
                <w:sz w:val="24"/>
                <w:szCs w:val="24"/>
                <w:shd w:val="clear" w:color="auto" w:fill="FFFFFF"/>
              </w:rPr>
              <w:t xml:space="preserve">July 2023 </w:t>
            </w:r>
            <w:r>
              <w:rPr>
                <w:rFonts w:asciiTheme="majorBidi" w:eastAsia="Times New Roman" w:hAnsiTheme="majorBidi" w:cstheme="majorBidi"/>
                <w:b/>
                <w:bCs/>
                <w:color w:val="414141"/>
                <w:sz w:val="24"/>
                <w:szCs w:val="24"/>
              </w:rPr>
              <w:t>Pages 2305-2311</w:t>
            </w:r>
          </w:p>
          <w:p w14:paraId="4B9A966C" w14:textId="77777777" w:rsidR="007B1AF7" w:rsidRPr="006D7988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8FFE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C630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5770DAC8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FF1A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د. شيماء شفيق </w:t>
            </w:r>
            <w:r>
              <w:rPr>
                <w:rFonts w:ascii="Abadi" w:hAnsi="Abadi" w:cstheme="majorBidi" w:hint="eastAsia"/>
                <w:b/>
                <w:bCs/>
                <w:sz w:val="24"/>
                <w:szCs w:val="24"/>
                <w:rtl/>
                <w:lang w:eastAsia="ar-SA" w:bidi="ar-EG"/>
              </w:rPr>
              <w:t>أبو</w:t>
            </w:r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سعدة</w:t>
            </w:r>
          </w:p>
          <w:p w14:paraId="7298571E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  <w:p w14:paraId="59530F76" w14:textId="77777777" w:rsidR="007B1AF7" w:rsidRPr="00CC30B0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د. سماح محمد </w:t>
            </w:r>
            <w:proofErr w:type="gramStart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عطيه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FB8E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6AFF48AA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B34" w14:textId="77777777" w:rsidR="007B1AF7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>
              <w:rPr>
                <w:rFonts w:ascii="Abadi" w:hAnsi="Abadi" w:cstheme="majorBidi" w:hint="cs"/>
                <w:sz w:val="24"/>
                <w:szCs w:val="24"/>
                <w:rtl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DBC" w14:textId="77777777" w:rsidR="007B1AF7" w:rsidRPr="000A204C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</w:pPr>
            <w:r w:rsidRPr="000A204C"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  <w:t>A bioinformatic analysis of the role of TP53 status</w:t>
            </w:r>
          </w:p>
          <w:p w14:paraId="4C09F1BB" w14:textId="77777777" w:rsidR="007B1AF7" w:rsidRPr="000A204C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</w:pPr>
            <w:r w:rsidRPr="000A204C"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  <w:t>on the in</w:t>
            </w:r>
            <w:r w:rsidRPr="000A204C">
              <w:rPr>
                <w:rFonts w:ascii="Abadi" w:hAnsi="Abadi" w:cs="AdvTT153188ed+fb"/>
                <w:b/>
                <w:bCs/>
                <w:sz w:val="24"/>
                <w:szCs w:val="24"/>
                <w:lang w:eastAsia="en-GB"/>
              </w:rPr>
              <w:t>fi</w:t>
            </w:r>
            <w:r w:rsidRPr="000A204C"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  <w:t>ltration of CD8+ T cells into the tumor</w:t>
            </w:r>
          </w:p>
          <w:p w14:paraId="348B61C2" w14:textId="77777777" w:rsidR="007B1AF7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204C">
              <w:rPr>
                <w:rFonts w:ascii="Abadi" w:hAnsi="Abadi" w:cs="AdvTT153188ed"/>
                <w:b/>
                <w:bCs/>
                <w:sz w:val="24"/>
                <w:szCs w:val="24"/>
                <w:lang w:eastAsia="en-GB"/>
              </w:rPr>
              <w:t>microenvironment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2C9C" w14:textId="77777777" w:rsidR="007B1AF7" w:rsidRPr="008C530A" w:rsidRDefault="007B1AF7" w:rsidP="0067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" w:hAnsi="Abadi" w:cs="AdvTT153188ed"/>
                <w:sz w:val="24"/>
                <w:szCs w:val="24"/>
                <w:lang w:eastAsia="en-GB"/>
              </w:rPr>
            </w:pPr>
            <w:r w:rsidRPr="008C530A">
              <w:rPr>
                <w:rFonts w:ascii="Abadi" w:hAnsi="Abadi" w:cs="AdvTT153188ed"/>
                <w:sz w:val="24"/>
                <w:szCs w:val="24"/>
                <w:lang w:eastAsia="en-GB"/>
              </w:rPr>
              <w:t>Brazilian Journal of Medical and Biological Research (2023) 56: e12970, https://doi.org/10.1590/1414-431X2023e12970</w:t>
            </w:r>
          </w:p>
          <w:p w14:paraId="39E65468" w14:textId="77777777" w:rsidR="007B1AF7" w:rsidRDefault="007B1AF7" w:rsidP="006779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C530A">
              <w:rPr>
                <w:rFonts w:ascii="Abadi" w:hAnsi="Abadi" w:cs="AdvTT153188ed"/>
                <w:sz w:val="24"/>
                <w:szCs w:val="24"/>
                <w:lang w:eastAsia="en-GB"/>
              </w:rPr>
              <w:t>ISSN 1414-431X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DA9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1B1A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082CA511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30E1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د. هالة السيد عبد الحميد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E7F4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7D058FC1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778" w14:textId="77777777" w:rsidR="007B1AF7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>
              <w:rPr>
                <w:rFonts w:ascii="Abadi" w:hAnsi="Abadi" w:cstheme="majorBidi" w:hint="cs"/>
                <w:sz w:val="24"/>
                <w:szCs w:val="24"/>
                <w:rtl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BE38" w14:textId="77777777" w:rsidR="007B1AF7" w:rsidRDefault="007B1AF7" w:rsidP="0067790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Correlation between the Accuracy of Alvarado Score in Diagnosis of Acute Appendicitis and the Postoperative Histopathology Report</w:t>
            </w:r>
          </w:p>
          <w:p w14:paraId="6C5C4C33" w14:textId="77777777" w:rsidR="007B1AF7" w:rsidRPr="00140643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22E9" w14:textId="77777777" w:rsidR="007B1AF7" w:rsidRDefault="007B1AF7" w:rsidP="0067790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0B26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AE16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6FF75071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FB4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د. سماح محمد </w:t>
            </w:r>
            <w:proofErr w:type="gramStart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عطيه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08E2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3EB0799F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E28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5DD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="Abadi" w:hAnsi="Abadi" w:cs="Mudir MT"/>
                <w:b/>
                <w:bCs/>
                <w:sz w:val="24"/>
                <w:szCs w:val="24"/>
              </w:rPr>
            </w:pPr>
            <w:proofErr w:type="spellStart"/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>Clinico</w:t>
            </w:r>
            <w:proofErr w:type="spellEnd"/>
            <w:r w:rsidRPr="00CC30B0">
              <w:rPr>
                <w:rFonts w:ascii="Abadi" w:hAnsi="Abadi"/>
                <w:b/>
                <w:bCs/>
                <w:sz w:val="24"/>
                <w:szCs w:val="24"/>
              </w:rPr>
              <w:t>-Pathological Features and Immunohistochemical Comparison of p16, p53, and Ki-67 Expression in Muscle-Invasive and Non-Muscle-Invasive Conventional Urothelial Bladder Carcinoma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741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  <w:r w:rsidRPr="00CC30B0">
              <w:rPr>
                <w:rFonts w:ascii="Abadi" w:hAnsi="Abadi"/>
                <w:sz w:val="24"/>
                <w:szCs w:val="24"/>
              </w:rPr>
              <w:t xml:space="preserve">International journal of </w:t>
            </w:r>
          </w:p>
          <w:p w14:paraId="48BCF588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  <w:r w:rsidRPr="00CC30B0">
              <w:rPr>
                <w:rFonts w:ascii="Abadi" w:hAnsi="Abadi"/>
                <w:sz w:val="24"/>
                <w:szCs w:val="24"/>
              </w:rPr>
              <w:t xml:space="preserve">Clinics </w:t>
            </w:r>
            <w:proofErr w:type="gramStart"/>
            <w:r w:rsidRPr="00CC30B0">
              <w:rPr>
                <w:rFonts w:ascii="Abadi" w:hAnsi="Abadi"/>
                <w:sz w:val="24"/>
                <w:szCs w:val="24"/>
              </w:rPr>
              <w:t>and .</w:t>
            </w:r>
            <w:proofErr w:type="gramEnd"/>
            <w:r w:rsidRPr="00CC30B0">
              <w:rPr>
                <w:rFonts w:ascii="Abadi" w:hAnsi="Abadi"/>
                <w:sz w:val="24"/>
                <w:szCs w:val="24"/>
              </w:rPr>
              <w:t xml:space="preserve"> Practice. 2023</w:t>
            </w:r>
          </w:p>
          <w:p w14:paraId="14242FBC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  <w:r w:rsidRPr="00CC30B0"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4B480428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</w:p>
          <w:p w14:paraId="24D4499A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jc w:val="right"/>
              <w:rPr>
                <w:rFonts w:ascii="Abadi" w:hAnsi="Abadi"/>
                <w:sz w:val="24"/>
                <w:szCs w:val="24"/>
              </w:rPr>
            </w:pPr>
            <w:hyperlink r:id="rId6" w:history="1">
              <w:r w:rsidRPr="00CC30B0">
                <w:rPr>
                  <w:rStyle w:val="Hyperlink"/>
                  <w:rFonts w:ascii="Abadi" w:hAnsi="Abadi"/>
                  <w:b/>
                  <w:bCs/>
                  <w:color w:val="4F5671"/>
                  <w:sz w:val="24"/>
                  <w:szCs w:val="24"/>
                  <w:shd w:val="clear" w:color="auto" w:fill="FFFFFF"/>
                </w:rPr>
                <w:t>https://doi.org/10.3390/clinpract13040073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4EF7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882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  <w:r w:rsidRPr="00CC30B0"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  <w:t>√</w:t>
            </w:r>
          </w:p>
          <w:p w14:paraId="564259F4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09A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  <w:t>د. عبير سعيد فرج</w:t>
            </w:r>
          </w:p>
          <w:p w14:paraId="6EC6C16A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lang w:eastAsia="ar-SA" w:bidi="ar-EG"/>
              </w:rPr>
            </w:pPr>
          </w:p>
          <w:p w14:paraId="59F6E7CF" w14:textId="77777777" w:rsidR="007B1AF7" w:rsidRPr="00CC30B0" w:rsidRDefault="007B1AF7" w:rsidP="00677901">
            <w:pPr>
              <w:bidi/>
              <w:jc w:val="both"/>
              <w:rPr>
                <w:rFonts w:ascii="Abadi" w:hAnsi="Abadi" w:cstheme="majorBidi"/>
                <w:b/>
                <w:bCs/>
                <w:sz w:val="24"/>
                <w:szCs w:val="24"/>
              </w:rPr>
            </w:pPr>
            <w:r w:rsidRPr="00CC30B0">
              <w:rPr>
                <w:rFonts w:ascii="Abadi" w:hAnsi="Abadi" w:cstheme="majorBidi"/>
                <w:b/>
                <w:bCs/>
                <w:sz w:val="24"/>
                <w:szCs w:val="24"/>
                <w:rtl/>
                <w:lang w:bidi="ar-EG"/>
              </w:rPr>
              <w:t>د. ايمان محمد علي</w:t>
            </w:r>
          </w:p>
          <w:p w14:paraId="7027C40B" w14:textId="77777777" w:rsidR="007B1AF7" w:rsidRPr="00CC30B0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DA7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0AE775D4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AD52" w14:textId="77777777" w:rsidR="007B1AF7" w:rsidRPr="00CC30B0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>
              <w:rPr>
                <w:rFonts w:ascii="Abadi" w:hAnsi="Abadi" w:cstheme="majorBidi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CD20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Conjunctival Impression Cytology </w:t>
            </w:r>
            <w:proofErr w:type="gramStart"/>
            <w:r>
              <w:rPr>
                <w:rFonts w:ascii="Abadi" w:hAnsi="Abadi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 Diagnosis And Grading Of Dry Eye.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1027" w14:textId="77777777" w:rsidR="007B1AF7" w:rsidRPr="00CC30B0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 xml:space="preserve">Journal of Virus </w:t>
            </w:r>
            <w:proofErr w:type="gramStart"/>
            <w:r>
              <w:rPr>
                <w:rFonts w:ascii="Abadi" w:hAnsi="Abadi"/>
                <w:sz w:val="24"/>
                <w:szCs w:val="24"/>
              </w:rPr>
              <w:t>Researches</w:t>
            </w:r>
            <w:proofErr w:type="gramEnd"/>
            <w:r>
              <w:rPr>
                <w:rFonts w:ascii="Abadi" w:hAnsi="Abadi"/>
                <w:sz w:val="24"/>
                <w:szCs w:val="24"/>
              </w:rPr>
              <w:t xml:space="preserve"> and studies 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59A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5232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558" w14:textId="77777777" w:rsidR="007B1AF7" w:rsidRPr="00CC30B0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proofErr w:type="gramStart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د.رانيا</w:t>
            </w:r>
            <w:proofErr w:type="spellEnd"/>
            <w:proofErr w:type="gramEnd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رفعت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1F1D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  <w:tr w:rsidR="007B1AF7" w:rsidRPr="00C93AA1" w14:paraId="5D983B7E" w14:textId="77777777" w:rsidTr="00677901">
        <w:trPr>
          <w:trHeight w:val="647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F4C5" w14:textId="77777777" w:rsidR="007B1AF7" w:rsidRDefault="007B1AF7" w:rsidP="00677901">
            <w:pPr>
              <w:spacing w:after="0" w:line="240" w:lineRule="auto"/>
              <w:ind w:left="86"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  <w:r>
              <w:rPr>
                <w:rFonts w:ascii="Abadi" w:hAnsi="Abadi" w:cstheme="majorBidi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1098" w14:textId="77777777" w:rsidR="007B1AF7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b/>
                <w:bCs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Autologous PRP Versus </w:t>
            </w:r>
            <w:proofErr w:type="spellStart"/>
            <w:r>
              <w:rPr>
                <w:rFonts w:ascii="Abadi" w:hAnsi="Abadi"/>
                <w:b/>
                <w:bCs/>
                <w:sz w:val="24"/>
                <w:szCs w:val="24"/>
              </w:rPr>
              <w:t>Autologus</w:t>
            </w:r>
            <w:proofErr w:type="spellEnd"/>
            <w:r>
              <w:rPr>
                <w:rFonts w:ascii="Abadi" w:hAnsi="Abadi"/>
                <w:b/>
                <w:bCs/>
                <w:sz w:val="24"/>
                <w:szCs w:val="24"/>
              </w:rPr>
              <w:t xml:space="preserve"> serum in Treatment of Sever Eye Disease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7C5" w14:textId="77777777" w:rsidR="007B1AF7" w:rsidRDefault="007B1AF7" w:rsidP="00677901">
            <w:pPr>
              <w:tabs>
                <w:tab w:val="left" w:pos="5587"/>
              </w:tabs>
              <w:bidi/>
              <w:spacing w:after="0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International Journal of medical art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E29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1A36" w14:textId="77777777" w:rsidR="007B1AF7" w:rsidRPr="00CC30B0" w:rsidRDefault="007B1AF7" w:rsidP="00677901">
            <w:pPr>
              <w:spacing w:after="120" w:line="240" w:lineRule="auto"/>
              <w:jc w:val="center"/>
              <w:rPr>
                <w:rFonts w:ascii="Abadi" w:hAnsi="Abadi" w:cstheme="majorBidi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4FC0" w14:textId="77777777" w:rsidR="007B1AF7" w:rsidRDefault="007B1AF7" w:rsidP="00677901">
            <w:pPr>
              <w:autoSpaceDE w:val="0"/>
              <w:autoSpaceDN w:val="0"/>
              <w:bidi/>
              <w:adjustRightInd w:val="0"/>
              <w:spacing w:after="60" w:line="240" w:lineRule="auto"/>
              <w:ind w:right="418"/>
              <w:jc w:val="both"/>
              <w:rPr>
                <w:rFonts w:ascii="Abadi" w:hAnsi="Abadi" w:cstheme="majorBidi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proofErr w:type="gramStart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>د.اميرة</w:t>
            </w:r>
            <w:proofErr w:type="spellEnd"/>
            <w:proofErr w:type="gramEnd"/>
            <w:r>
              <w:rPr>
                <w:rFonts w:ascii="Abadi" w:hAnsi="Abadi" w:cstheme="majorBidi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نصر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331" w14:textId="77777777" w:rsidR="007B1AF7" w:rsidRPr="00CC30B0" w:rsidRDefault="007B1AF7" w:rsidP="00677901">
            <w:pPr>
              <w:spacing w:after="0" w:line="240" w:lineRule="auto"/>
              <w:ind w:right="418"/>
              <w:jc w:val="both"/>
              <w:rPr>
                <w:rFonts w:ascii="Abadi" w:hAnsi="Abadi" w:cstheme="majorBidi"/>
                <w:sz w:val="24"/>
                <w:szCs w:val="24"/>
                <w:lang w:eastAsia="ar-SA"/>
              </w:rPr>
            </w:pPr>
          </w:p>
        </w:tc>
      </w:tr>
    </w:tbl>
    <w:p w14:paraId="4EF3A765" w14:textId="77777777" w:rsidR="0027283C" w:rsidRDefault="0027283C" w:rsidP="007B1AF7">
      <w:pPr>
        <w:bidi/>
      </w:pPr>
    </w:p>
    <w:sectPr w:rsidR="0027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153188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153188ed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136C"/>
    <w:rsid w:val="0027283C"/>
    <w:rsid w:val="0068136C"/>
    <w:rsid w:val="007B1AF7"/>
    <w:rsid w:val="00D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37ED"/>
  <w15:chartTrackingRefBased/>
  <w15:docId w15:val="{182A1EAC-3168-4F47-AD1B-77C8B8B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AF7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B1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clinpract13040073" TargetMode="External"/><Relationship Id="rId5" Type="http://schemas.openxmlformats.org/officeDocument/2006/relationships/hyperlink" Target="https://journal.waocp.org/issue_11873_11880.html" TargetMode="External"/><Relationship Id="rId4" Type="http://schemas.openxmlformats.org/officeDocument/2006/relationships/hyperlink" Target="https://doi.org/10.3390/medicina59071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Gamil</dc:creator>
  <cp:keywords/>
  <dc:description/>
  <cp:lastModifiedBy>Heba Gamil</cp:lastModifiedBy>
  <cp:revision>2</cp:revision>
  <dcterms:created xsi:type="dcterms:W3CDTF">2024-01-09T22:34:00Z</dcterms:created>
  <dcterms:modified xsi:type="dcterms:W3CDTF">2024-01-09T22:35:00Z</dcterms:modified>
</cp:coreProperties>
</file>