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DACEC" w14:textId="52C8CBA1" w:rsidR="00B821C7" w:rsidRDefault="00B821C7" w:rsidP="00B821C7">
      <w:pPr>
        <w:spacing w:before="120" w:after="120"/>
        <w:ind w:left="284" w:hanging="284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996571"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  <w:t xml:space="preserve">أبحاث منشورة في مجلات علمية 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دولية</w:t>
      </w:r>
    </w:p>
    <w:p w14:paraId="390FF7AE" w14:textId="77777777" w:rsidR="00B821C7" w:rsidRDefault="00B821C7" w:rsidP="00B821C7">
      <w:pPr>
        <w:ind w:left="720" w:hanging="360"/>
        <w:jc w:val="center"/>
        <w:rPr>
          <w:lang w:bidi="ar-EG"/>
        </w:rPr>
      </w:pPr>
    </w:p>
    <w:p w14:paraId="279A311E" w14:textId="16D04C1A" w:rsidR="00324E6E" w:rsidRDefault="00324E6E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r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Ibrahim, S. E. M., &amp;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Kosba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, A. A. (2018). Royal jelly supplementation reduces skeletal muscle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lipotoxicity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 and insulin resistance in aged obese rats. Pathophysiology, 25(4), 307-315.</w:t>
      </w:r>
    </w:p>
    <w:p w14:paraId="50045045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</w:p>
    <w:p w14:paraId="615B0BE3" w14:textId="5E154780" w:rsidR="00324E6E" w:rsidRDefault="00324E6E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Emara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, H. A. E. A. S., Hussein, A., El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Metwally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 Ibrahim, S., El-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Demerdash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>, R. S., &amp; Ahmed, M. Q. (2018)</w:t>
      </w:r>
      <w:r w:rsidR="009745DE"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bookmarkStart w:id="0" w:name="_GoBack"/>
      <w:r w:rsidR="00263258"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Investigation of metabolic and oxidative liver dysfunctions induced by acute and hyper-acute zinc phosphide toxicity in adult rats. </w:t>
      </w:r>
      <w:bookmarkEnd w:id="0"/>
      <w:r w:rsidRPr="00B821C7">
        <w:rPr>
          <w:rFonts w:asciiTheme="majorBidi" w:hAnsiTheme="majorBidi" w:cstheme="majorBidi"/>
          <w:b/>
          <w:bCs/>
          <w:sz w:val="32"/>
          <w:szCs w:val="32"/>
        </w:rPr>
        <w:t>Biochemical &amp; Cellular Archives, 18(1).</w:t>
      </w:r>
    </w:p>
    <w:p w14:paraId="11ECFE39" w14:textId="77777777" w:rsidR="00B821C7" w:rsidRPr="00B821C7" w:rsidRDefault="00B821C7" w:rsidP="00B821C7">
      <w:pPr>
        <w:pStyle w:val="ListParagraph"/>
        <w:rPr>
          <w:rFonts w:asciiTheme="majorBidi" w:hAnsiTheme="majorBidi" w:cstheme="majorBidi"/>
          <w:b/>
          <w:bCs/>
          <w:sz w:val="32"/>
          <w:szCs w:val="32"/>
        </w:rPr>
      </w:pPr>
    </w:p>
    <w:p w14:paraId="16AD5044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</w:p>
    <w:p w14:paraId="7CE3E1F2" w14:textId="6321B561" w:rsidR="00324E6E" w:rsidRDefault="00324E6E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</w:rPr>
        <w:t>Elrashidy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</w:rPr>
        <w:t>, R. A., &amp; Ibrahim, S. E. (2021). Cinacalcet as a surrogate therapy for diabetic cardiomyopathy in rats through AMPK-mediated promotion</w:t>
      </w:r>
      <w:r w:rsidR="00753EAD"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821C7">
        <w:rPr>
          <w:rFonts w:asciiTheme="majorBidi" w:hAnsiTheme="majorBidi" w:cstheme="majorBidi"/>
          <w:b/>
          <w:bCs/>
          <w:sz w:val="32"/>
          <w:szCs w:val="32"/>
        </w:rPr>
        <w:t>of</w:t>
      </w:r>
      <w:r w:rsidR="00753EAD"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B821C7">
        <w:rPr>
          <w:rFonts w:asciiTheme="majorBidi" w:hAnsiTheme="majorBidi" w:cstheme="majorBidi"/>
          <w:b/>
          <w:bCs/>
          <w:sz w:val="32"/>
          <w:szCs w:val="32"/>
        </w:rPr>
        <w:t>mitochondrial and autophagic function. Toxicology and Applied</w:t>
      </w:r>
      <w:r w:rsidR="005527DD" w:rsidRPr="00B821C7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341F1" w:rsidRPr="00B821C7">
        <w:rPr>
          <w:rFonts w:asciiTheme="majorBidi" w:hAnsiTheme="majorBidi" w:cstheme="majorBidi"/>
          <w:b/>
          <w:bCs/>
          <w:sz w:val="32"/>
          <w:szCs w:val="32"/>
        </w:rPr>
        <w:t>Pharmacology, 421, 115533.</w:t>
      </w:r>
    </w:p>
    <w:p w14:paraId="1F3834A4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4D410E6A" w14:textId="77777777" w:rsidR="00B821C7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Mona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Schaalan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Basma K. Ramadan and Azza H. Abd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Elwahab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(2018): Synergistic effect of carnosine on browning of adipose tissue in exercised obese rats; a focus on circulating irisin levels. J Cell Physiol.; 233(6):5044-5057. </w:t>
      </w:r>
    </w:p>
    <w:p w14:paraId="53D2CCCD" w14:textId="77777777" w:rsidR="00B821C7" w:rsidRPr="00B821C7" w:rsidRDefault="00B821C7" w:rsidP="00B821C7">
      <w:pPr>
        <w:pStyle w:val="ListParagraph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</w:p>
    <w:p w14:paraId="4D6002FD" w14:textId="4A48285B" w:rsidR="00DC67CA" w:rsidRPr="00B821C7" w:rsidRDefault="00DC67CA" w:rsidP="00B821C7">
      <w:pPr>
        <w:pStyle w:val="ListParagraph"/>
        <w:spacing w:before="120" w:after="120" w:line="240" w:lineRule="auto"/>
        <w:ind w:left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</w:p>
    <w:p w14:paraId="775F8A56" w14:textId="21E2FBDB" w:rsidR="00B821C7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Mona F. Schaalan1, Basma K. Ramadan and Azza H. Abd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Elwahab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(2018): Ameliorative effect of taurine-chloramine in azathioprine-induced testicular damage; a deeper insight into the mechanism of protection. BMC Complement Altern Med. ;18(1):255 </w:t>
      </w:r>
    </w:p>
    <w:p w14:paraId="1BE4BF34" w14:textId="77777777" w:rsidR="00B821C7" w:rsidRDefault="00B821C7">
      <w:pPr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br w:type="page"/>
      </w:r>
    </w:p>
    <w:p w14:paraId="3432F4B8" w14:textId="77777777" w:rsidR="00DC67CA" w:rsidRPr="00B821C7" w:rsidRDefault="00DC67CA" w:rsidP="00B821C7">
      <w:pPr>
        <w:pStyle w:val="ListParagraph"/>
        <w:spacing w:before="120" w:after="120" w:line="240" w:lineRule="auto"/>
        <w:ind w:left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</w:p>
    <w:p w14:paraId="041CE97A" w14:textId="33982B58" w:rsidR="00B821C7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Rania M. </w:t>
      </w:r>
      <w:proofErr w:type="spellStart"/>
      <w:proofErr w:type="gram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Salamaa,f</w:t>
      </w:r>
      <w:proofErr w:type="spellEnd"/>
      <w:proofErr w:type="gram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,*, Azza H. Abd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Elwahabb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, Mona M. Abd-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Elgalilc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Noura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Elmongyd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Mona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Schaalane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(2020): LCZ696 (sacubitril/valsartan) protects against cyclophosphamide-induced testicular toxicity in rats: Role of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neprilysin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inhibition and lncRNA TUG1 in ameliorating apoptosis. </w:t>
      </w:r>
      <w:r w:rsidR="00B821C7"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Toxicology; 437:152439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. </w:t>
      </w:r>
    </w:p>
    <w:p w14:paraId="274AEAB2" w14:textId="468F5782" w:rsidR="00DC67CA" w:rsidRPr="00B821C7" w:rsidRDefault="00DC67CA" w:rsidP="00B821C7">
      <w:pPr>
        <w:pStyle w:val="ListParagraph"/>
        <w:spacing w:before="120" w:after="120" w:line="240" w:lineRule="auto"/>
        <w:ind w:left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</w:p>
    <w:p w14:paraId="774430D7" w14:textId="77777777" w:rsidR="00B821C7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Ghada A. Abdel</w:t>
      </w:r>
      <w:r w:rsidRPr="00B821C7">
        <w:rPr>
          <w:rFonts w:ascii="Cambria Math" w:eastAsia="Calibri" w:hAnsi="Cambria Math" w:cs="Cambria Math"/>
          <w:b/>
          <w:bCs/>
          <w:color w:val="000000"/>
          <w:sz w:val="32"/>
          <w:szCs w:val="32"/>
          <w:lang w:eastAsia="en-GB"/>
        </w:rPr>
        <w:t>‑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Latif1, Azza H. Abd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Elwahab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Rehab A. Hasan,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Noura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ElMongy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Maggie M.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Ramzy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Manal L.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Louka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&amp; Mona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Schaalan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(2020): A novel protective role of sacubitril/valsartan in cyclophosphamide induced lung injury in rats: impact of miRNA-150-3p on NF-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κB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/MAPK signaling trajectories. Sci Rep. ;10(1):13045.</w:t>
      </w:r>
    </w:p>
    <w:p w14:paraId="0E12A218" w14:textId="77777777" w:rsidR="00B821C7" w:rsidRPr="00B821C7" w:rsidRDefault="00B821C7" w:rsidP="00B821C7">
      <w:pPr>
        <w:pStyle w:val="ListParagraph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</w:p>
    <w:p w14:paraId="14A31229" w14:textId="3187DBAC" w:rsidR="00DC67CA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Rogy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R.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Ezz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Eldin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Marwa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A. Saleh, Mohammad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Hayal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Alotaibi, Reem K.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Alsuair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Yahya A.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Alzahrani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Feras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A.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Alshehri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Amany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F. Mohamed, Shaimaa M. Hafez, Azza Ali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Althoqapy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Seham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K.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Khirala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Mona M. Amin, Yousuf A.F, Azza H.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AbdElwahab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Mohamed S.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Alesawy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Ayman Abo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Elmaaty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&amp; Ahmed A. Al-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Karmalawy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(2022): Ligand-based design and synthesis of </w:t>
      </w:r>
      <w:r w:rsidRPr="00B821C7">
        <w:rPr>
          <w:rFonts w:asciiTheme="majorBidi" w:eastAsia="Calibri" w:hAnsiTheme="majorBidi" w:cstheme="majorBidi"/>
          <w:b/>
          <w:bCs/>
          <w:i/>
          <w:iCs/>
          <w:color w:val="000000"/>
          <w:sz w:val="32"/>
          <w:szCs w:val="32"/>
          <w:lang w:eastAsia="en-GB"/>
        </w:rPr>
        <w:t>N'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-Benzylidene-3,4-dimethoxybenzohydrazide derivatives as potential antimicrobial agents; evaluation by </w:t>
      </w:r>
      <w:r w:rsidRPr="00B821C7">
        <w:rPr>
          <w:rFonts w:asciiTheme="majorBidi" w:eastAsia="Calibri" w:hAnsiTheme="majorBidi" w:cstheme="majorBidi"/>
          <w:b/>
          <w:bCs/>
          <w:i/>
          <w:iCs/>
          <w:color w:val="000000"/>
          <w:sz w:val="32"/>
          <w:szCs w:val="32"/>
          <w:lang w:eastAsia="en-GB"/>
        </w:rPr>
        <w:t>in vitro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, </w:t>
      </w:r>
      <w:r w:rsidRPr="00B821C7">
        <w:rPr>
          <w:rFonts w:asciiTheme="majorBidi" w:eastAsia="Calibri" w:hAnsiTheme="majorBidi" w:cstheme="majorBidi"/>
          <w:b/>
          <w:bCs/>
          <w:i/>
          <w:iCs/>
          <w:color w:val="000000"/>
          <w:sz w:val="32"/>
          <w:szCs w:val="32"/>
          <w:lang w:eastAsia="en-GB"/>
        </w:rPr>
        <w:t>in vivo, and in silico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 approaches with SAR studies. J Enzyme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Inhib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Med Chem.;37(1):1098-1119. </w:t>
      </w:r>
    </w:p>
    <w:p w14:paraId="4914FB02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</w:pPr>
    </w:p>
    <w:p w14:paraId="4EFC6239" w14:textId="44EE4AB3" w:rsidR="00DC67CA" w:rsidRDefault="00DC67CA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</w:pP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Azza H.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Abdelwahab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Amira M.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Negm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Eman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S. Mahmoud, Rania M. Salama, Mona F.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Schaalan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, Azza A.K. El-Sheikh and Basma K. Ramadan (2023): The cardioprotective effects of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secoisolariciresinol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</w:t>
      </w:r>
      <w:proofErr w:type="spellStart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>diglucoside</w:t>
      </w:r>
      <w:proofErr w:type="spellEnd"/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t xml:space="preserve"> (flaxseed lignan) against cafeteria diet-induced cardiac fibrosis and vascular injury in rats: an insight into apelin/AMPK/FOXO3a signaling </w:t>
      </w:r>
      <w:r w:rsidRPr="00B821C7">
        <w:rPr>
          <w:rFonts w:asciiTheme="majorBidi" w:eastAsia="Calibri" w:hAnsiTheme="majorBidi" w:cstheme="majorBidi"/>
          <w:b/>
          <w:bCs/>
          <w:color w:val="000000"/>
          <w:sz w:val="32"/>
          <w:szCs w:val="32"/>
          <w:lang w:eastAsia="en-GB"/>
        </w:rPr>
        <w:lastRenderedPageBreak/>
        <w:t xml:space="preserve">pathways. </w:t>
      </w:r>
      <w:r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Frontiers in Pharmacology, Volume 14</w:t>
      </w:r>
      <w:r w:rsidR="00C92C04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="00A908E1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doi</w:t>
      </w:r>
      <w:r w:rsidR="004D577F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:</w:t>
      </w:r>
      <w:r w:rsidR="00A908E1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10.3389</w:t>
      </w:r>
      <w:r w:rsidR="00C92C04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/</w:t>
      </w:r>
      <w:proofErr w:type="spellStart"/>
      <w:r w:rsidR="00C92C04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fph</w:t>
      </w:r>
      <w:r w:rsidR="00FD5E4E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ar</w:t>
      </w:r>
      <w:proofErr w:type="spellEnd"/>
      <w:r w:rsidR="00FD5E4E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="00C831D7" w:rsidRPr="00B821C7"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  <w:t>2023.1199294.</w:t>
      </w:r>
    </w:p>
    <w:p w14:paraId="04B4A01B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eastAsia="Calibri" w:hAnsiTheme="majorBidi" w:cstheme="majorBidi"/>
          <w:b/>
          <w:bCs/>
          <w:color w:val="000000" w:themeColor="text1"/>
          <w:sz w:val="32"/>
          <w:szCs w:val="32"/>
          <w:lang w:eastAsia="en-GB"/>
        </w:rPr>
      </w:pPr>
    </w:p>
    <w:p w14:paraId="4350F6CF" w14:textId="1E9F9C6C" w:rsidR="001E4E13" w:rsidRDefault="001E4E13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Karema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Abu-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Elfotuh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Amina M. A.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Tolba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Furqan H. Hussein, Ahmed M. E. Hamdan, Mohamed A.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Rabeh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Saad A.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Alshahri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Azza A. Ali, Sarah M.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Mosaad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Nihal A. Mahmoud, Magdy Y.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Elsaeed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Ranya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M.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Abdelglil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, Rehab R. El-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Awady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Eman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Reda M. Galal, Mona M. Kamal, Ahmed M. M.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Elsisi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Alshaymaa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Darwish, Ayah M. H.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Gowifel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Yasmen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F.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Mahran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. Anti-Alzheimer Activity of Combinations of Cocoa with Vinpocetine or Other Nutraceuticals in Rat Model: Modulation of Wnt3/β-Catenin/GSK-3β/Nrf2/HO-1 and PERK/CHOP/Bcl-2 Pathways Pharmaceutics. 15(8) July 2023 DOI:10.3390/pharmaceutics15082063.</w:t>
      </w:r>
    </w:p>
    <w:p w14:paraId="04ACA26A" w14:textId="77777777" w:rsidR="00B821C7" w:rsidRPr="00B821C7" w:rsidRDefault="00B821C7" w:rsidP="00B821C7">
      <w:pPr>
        <w:pStyle w:val="ListParagrap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6C40954D" w14:textId="77777777" w:rsidR="00B821C7" w:rsidRPr="00B821C7" w:rsidRDefault="00B821C7" w:rsidP="00B821C7">
      <w:pPr>
        <w:pStyle w:val="ListParagraph"/>
        <w:spacing w:before="120" w:after="120" w:line="240" w:lineRule="auto"/>
        <w:ind w:left="284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14:paraId="141947E8" w14:textId="77777777" w:rsidR="001E4E13" w:rsidRPr="00B821C7" w:rsidRDefault="001E4E13" w:rsidP="00B821C7">
      <w:pPr>
        <w:pStyle w:val="ListParagraph"/>
        <w:numPr>
          <w:ilvl w:val="0"/>
          <w:numId w:val="2"/>
        </w:num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Sarah M. El-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Kot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Wessam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Wanas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Afaf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M. Hafez, Nihal A. Mahmoud, Amina M.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Tolba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,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Abeer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H. Younis, Gamal El Sayed &amp; Huda E. </w:t>
      </w:r>
      <w:proofErr w:type="spellStart"/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>Abdelwahab</w:t>
      </w:r>
      <w:proofErr w:type="spellEnd"/>
      <w:r w:rsidRPr="00B821C7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. </w:t>
      </w:r>
      <w:r w:rsidRPr="00B821C7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Effect of silymarin on the relative gene expressions of some inflammatory cytokines in the liver of CCl4-intoxicated male rats. Scientific Reports. volume 13, Article number: 15245 (2023). </w:t>
      </w:r>
    </w:p>
    <w:p w14:paraId="28E8478E" w14:textId="77777777" w:rsidR="001E4E13" w:rsidRPr="00B821C7" w:rsidRDefault="001E4E13" w:rsidP="00B821C7">
      <w:pPr>
        <w:spacing w:before="120" w:after="120" w:line="240" w:lineRule="auto"/>
        <w:ind w:left="284" w:hanging="284"/>
        <w:rPr>
          <w:rFonts w:asciiTheme="majorBidi" w:hAnsiTheme="majorBidi" w:cstheme="majorBidi"/>
          <w:b/>
          <w:bCs/>
          <w:sz w:val="32"/>
          <w:szCs w:val="32"/>
        </w:rPr>
      </w:pPr>
    </w:p>
    <w:sectPr w:rsidR="001E4E13" w:rsidRPr="00B821C7" w:rsidSect="00B821C7">
      <w:pgSz w:w="12240" w:h="15840"/>
      <w:pgMar w:top="141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E3648"/>
    <w:multiLevelType w:val="hybridMultilevel"/>
    <w:tmpl w:val="E490E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050EE"/>
    <w:multiLevelType w:val="hybridMultilevel"/>
    <w:tmpl w:val="0B5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6E"/>
    <w:rsid w:val="00115759"/>
    <w:rsid w:val="001E4E13"/>
    <w:rsid w:val="00263258"/>
    <w:rsid w:val="00324E6E"/>
    <w:rsid w:val="003341F1"/>
    <w:rsid w:val="003830CC"/>
    <w:rsid w:val="004D577F"/>
    <w:rsid w:val="005527DD"/>
    <w:rsid w:val="006A44E4"/>
    <w:rsid w:val="00753EAD"/>
    <w:rsid w:val="009745DE"/>
    <w:rsid w:val="00A908E1"/>
    <w:rsid w:val="00B821C7"/>
    <w:rsid w:val="00C831D7"/>
    <w:rsid w:val="00C92C04"/>
    <w:rsid w:val="00C940F0"/>
    <w:rsid w:val="00CB62E8"/>
    <w:rsid w:val="00DC67CA"/>
    <w:rsid w:val="00E053BD"/>
    <w:rsid w:val="00F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AA33"/>
  <w15:chartTrackingRefBased/>
  <w15:docId w15:val="{4C7661CF-97CD-B543-95DD-B2242F44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elsayed</dc:creator>
  <cp:keywords/>
  <dc:description/>
  <cp:lastModifiedBy>Dr. Hanan Al-Saeed</cp:lastModifiedBy>
  <cp:revision>6</cp:revision>
  <dcterms:created xsi:type="dcterms:W3CDTF">2024-01-20T15:43:00Z</dcterms:created>
  <dcterms:modified xsi:type="dcterms:W3CDTF">2024-01-20T16:48:00Z</dcterms:modified>
</cp:coreProperties>
</file>